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CC1266">
              <w:t>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FE32B4" w:rsidRDefault="00FE32B4" w:rsidP="00FE32B4">
      <w:pPr>
        <w:tabs>
          <w:tab w:val="left" w:pos="14656"/>
        </w:tabs>
        <w:jc w:val="center"/>
        <w:rPr>
          <w:b/>
          <w:bCs/>
          <w:color w:val="000000"/>
          <w:lang w:eastAsia="lt-LT"/>
        </w:rPr>
      </w:pPr>
      <w:r>
        <w:rPr>
          <w:b/>
          <w:bCs/>
          <w:color w:val="000000"/>
          <w:lang w:eastAsia="lt-LT"/>
        </w:rPr>
        <w:t>KLAIPĖDOS LOPŠELIO-</w:t>
      </w:r>
      <w:r w:rsidR="006078A1">
        <w:rPr>
          <w:b/>
          <w:bCs/>
          <w:color w:val="000000"/>
          <w:lang w:eastAsia="lt-LT"/>
        </w:rPr>
        <w:t>DARŽELIO „AITVARĖLIS</w:t>
      </w:r>
      <w:r w:rsidRPr="00934CED">
        <w:rPr>
          <w:b/>
          <w:bCs/>
          <w:color w:val="000000"/>
          <w:lang w:eastAsia="lt-LT"/>
        </w:rPr>
        <w:t>“</w:t>
      </w:r>
    </w:p>
    <w:p w:rsidR="00FE32B4" w:rsidRPr="00934CED" w:rsidRDefault="00FE32B4" w:rsidP="00FE32B4">
      <w:pPr>
        <w:jc w:val="center"/>
        <w:rPr>
          <w:b/>
          <w:bCs/>
          <w:color w:val="000000"/>
          <w:lang w:eastAsia="lt-LT"/>
        </w:rPr>
      </w:pPr>
      <w:r w:rsidRPr="00934CED">
        <w:rPr>
          <w:b/>
          <w:bCs/>
          <w:color w:val="000000"/>
          <w:lang w:eastAsia="lt-LT"/>
        </w:rPr>
        <w:t>202</w:t>
      </w:r>
      <w:r>
        <w:rPr>
          <w:b/>
          <w:bCs/>
          <w:color w:val="000000"/>
          <w:lang w:eastAsia="lt-LT"/>
        </w:rPr>
        <w:t>2</w:t>
      </w:r>
      <w:r w:rsidRPr="00934CED">
        <w:rPr>
          <w:b/>
          <w:bCs/>
          <w:color w:val="000000"/>
          <w:lang w:eastAsia="lt-LT"/>
        </w:rPr>
        <w:t xml:space="preserve"> METŲ VEIKLOS ATASKAITA</w:t>
      </w:r>
    </w:p>
    <w:p w:rsidR="00FE32B4" w:rsidRPr="00872D78" w:rsidRDefault="00FE32B4" w:rsidP="00FE32B4">
      <w:pPr>
        <w:jc w:val="center"/>
        <w:rPr>
          <w:color w:val="000000"/>
          <w:lang w:eastAsia="lt-LT"/>
        </w:rPr>
      </w:pPr>
      <w:r w:rsidRPr="00872D78">
        <w:rPr>
          <w:color w:val="000000"/>
          <w:lang w:eastAsia="lt-LT"/>
        </w:rPr>
        <w:t> </w:t>
      </w:r>
    </w:p>
    <w:p w:rsidR="006078A1" w:rsidRPr="006078A1" w:rsidRDefault="006078A1" w:rsidP="006078A1">
      <w:pPr>
        <w:ind w:firstLine="567"/>
        <w:jc w:val="both"/>
        <w:rPr>
          <w:strike/>
        </w:rPr>
      </w:pPr>
      <w:r w:rsidRPr="006078A1">
        <w:t>Klaipėdos lopšelis-darželis „Aitvarėlis“ (toliau – Įstaiga) įgyvendina ikimokyklinio ir priešmokyklinio ugdymo programas bei 3 neformaliojo vaikų švietimo programas: Sveikos ir saugios gyvensenos ugdymo, Fizinio aktyvumo, anglų kalbos Kim ir Džo. 2022-09-01 duomenimis</w:t>
      </w:r>
      <w:r w:rsidR="00B45C6C">
        <w:t>,</w:t>
      </w:r>
      <w:r w:rsidRPr="006078A1">
        <w:t xml:space="preserve"> Įstaigoje buvo 191 ugdytinis, iš jų 12 specialiųjų ugdymosi poreikių turintys vaikai. Suformuotos 3 ankstyvojo amžiaus ugdymo, 6 ikimokyklinio ugdymo ir 2 priešmokyklinio ugdymo grupės. Vaikų skaičius grupėse atitinka higienos normų reikalavimus. 2022 m. Įstaigoje dirbo 27 pedagogai, t. y. 27,5 etato, ir 28 nepedagoginiai darbuotojai, t. y. 25 etato. </w:t>
      </w:r>
    </w:p>
    <w:p w:rsidR="006078A1" w:rsidRPr="006078A1" w:rsidRDefault="006078A1" w:rsidP="006078A1">
      <w:pPr>
        <w:ind w:firstLine="567"/>
        <w:jc w:val="both"/>
        <w:rPr>
          <w:bCs/>
        </w:rPr>
      </w:pPr>
      <w:r w:rsidRPr="006078A1">
        <w:rPr>
          <w:lang w:eastAsia="lt-LT"/>
        </w:rPr>
        <w:t>Klaipėdos lopšelio-darželio „Aitvarėlis“ 2022–2024 metų strateginio plano (toliau – strateginis planas) tikslai ir uždaviniai orientuoti į švietimo paslaugų kokybės gerinimą ir saugios, sveikos bei šiuolaikinius ugdymo(si) reikalavimus atliepiančios aplinkos kūrimą. Strateginio plano tikslas – užtikrinti kokybišką ugdymo proceso organizavimą.</w:t>
      </w:r>
      <w:r w:rsidRPr="006078A1">
        <w:rPr>
          <w:bCs/>
        </w:rPr>
        <w:t xml:space="preserve"> Įgyvendinant strateginį planą ir 2022 m. veiklos planą (toliau – Veiklos planas), buvo užtikrinama ikimokyklinio ir priešmokyklinio ugdymo programų įgyvendinimo kokybė. 2022 m. pasirinkta prioritetinė veiklos kryptis – bendruomenės telkimas sveikos ir saugios gyvensenos įgūdžių įtvirtinimui bei ugdytinių pasiekimų ir švietimo pagalbos teikimo gerinimas įvairių gebėjimų vaikams. Strateginiam tikslui pasiekti pasirinkti šie uždaviniai: 1) sudaryti sąlygas ugdyti(s) ir gerinti ugdymo proceso kokybę, 2) ugdytinių patirčių ir motyvacijos bei saviraiškos didinimas; 3) sutelkti Įstaigos bendruomenę sveikos ir saugios gyvensenos įgūdžių įtvirtinimui. </w:t>
      </w:r>
    </w:p>
    <w:p w:rsidR="006078A1" w:rsidRPr="006078A1" w:rsidRDefault="006078A1" w:rsidP="006078A1">
      <w:pPr>
        <w:tabs>
          <w:tab w:val="left" w:pos="1985"/>
        </w:tabs>
        <w:ind w:firstLine="567"/>
        <w:jc w:val="both"/>
        <w:rPr>
          <w:lang w:eastAsia="lt-LT"/>
        </w:rPr>
      </w:pPr>
      <w:r w:rsidRPr="006078A1">
        <w:rPr>
          <w:lang w:eastAsia="lt-LT"/>
        </w:rPr>
        <w:t xml:space="preserve">Siekiant strateginio plano pirmojo tikslo – užtikrinti kokybišką ugdymo proceso organizavimą – Įstaigos veikla buvo orientuojama į </w:t>
      </w:r>
      <w:r w:rsidRPr="006078A1">
        <w:rPr>
          <w:rFonts w:eastAsiaTheme="minorHAnsi"/>
        </w:rPr>
        <w:t>ikimokyklinio ir priešmokyklinio ugdymo</w:t>
      </w:r>
      <w:r w:rsidRPr="006078A1">
        <w:rPr>
          <w:rFonts w:asciiTheme="minorHAnsi" w:eastAsiaTheme="minorHAnsi" w:hAnsiTheme="minorHAnsi" w:cstheme="minorBidi"/>
        </w:rPr>
        <w:t xml:space="preserve"> </w:t>
      </w:r>
      <w:r w:rsidRPr="006078A1">
        <w:rPr>
          <w:rFonts w:eastAsiaTheme="minorHAnsi"/>
        </w:rPr>
        <w:t>kompetencijų kokybės gerinimą</w:t>
      </w:r>
      <w:r w:rsidRPr="006078A1">
        <w:rPr>
          <w:rFonts w:asciiTheme="minorHAnsi" w:eastAsiaTheme="minorHAnsi" w:hAnsiTheme="minorHAnsi" w:cstheme="minorBidi"/>
        </w:rPr>
        <w:t>,</w:t>
      </w:r>
      <w:r w:rsidRPr="006078A1">
        <w:rPr>
          <w:lang w:eastAsia="lt-LT"/>
        </w:rPr>
        <w:t xml:space="preserve"> darbuotojų kvalifikacijos tobulinimą, įgyjant naujų kompetencijų. Tikslui pasiekti buvo vykdomi keturi Veiklos plano uždaviniai: </w:t>
      </w:r>
    </w:p>
    <w:p w:rsidR="006078A1" w:rsidRPr="006078A1" w:rsidRDefault="006078A1" w:rsidP="006078A1">
      <w:pPr>
        <w:tabs>
          <w:tab w:val="left" w:pos="1985"/>
        </w:tabs>
        <w:ind w:left="5" w:firstLine="567"/>
        <w:contextualSpacing/>
        <w:jc w:val="both"/>
        <w:rPr>
          <w:lang w:eastAsia="lt-LT"/>
        </w:rPr>
      </w:pPr>
      <w:r w:rsidRPr="006078A1">
        <w:rPr>
          <w:lang w:eastAsia="lt-LT"/>
        </w:rPr>
        <w:t>– įgyvendinant pirmąjį uždavinį – pedagogų aktyvių ugdymo metodų taikymas ugdomojoje veikloje – 2022 m. visi pedagogai gilino savo kompetencijas, tobulino kvalifikaciją vidutiniškai po 10 dienų</w:t>
      </w:r>
      <w:r w:rsidR="001D7E01">
        <w:rPr>
          <w:lang w:eastAsia="lt-LT"/>
        </w:rPr>
        <w:t xml:space="preserve">. </w:t>
      </w:r>
      <w:r w:rsidRPr="006078A1">
        <w:rPr>
          <w:lang w:eastAsia="lt-LT"/>
        </w:rPr>
        <w:t>14 mokytojų dalyvavo tarptautiniuose projektuose, mokykla pelnė tarptautinį kokybės ženklelį „Programos „eTwinning mokykla 2021–2022</w:t>
      </w:r>
      <w:r w:rsidR="00B45C6C">
        <w:rPr>
          <w:lang w:eastAsia="lt-LT"/>
        </w:rPr>
        <w:t>.</w:t>
      </w:r>
      <w:r w:rsidRPr="006078A1">
        <w:rPr>
          <w:rFonts w:asciiTheme="minorHAnsi" w:eastAsiaTheme="minorHAnsi" w:hAnsiTheme="minorHAnsi" w:cstheme="minorBidi"/>
          <w:sz w:val="22"/>
          <w:szCs w:val="22"/>
        </w:rPr>
        <w:t xml:space="preserve"> </w:t>
      </w:r>
      <w:r w:rsidRPr="006078A1">
        <w:rPr>
          <w:rFonts w:eastAsiaTheme="minorHAnsi"/>
        </w:rPr>
        <w:t xml:space="preserve">Įstaigos pedagogai </w:t>
      </w:r>
      <w:r w:rsidRPr="006078A1">
        <w:rPr>
          <w:lang w:eastAsia="lt-LT"/>
        </w:rPr>
        <w:t>skleidė gerąją patirtį: respublikoje – 12</w:t>
      </w:r>
      <w:r w:rsidR="001D7E01">
        <w:rPr>
          <w:lang w:eastAsia="lt-LT"/>
        </w:rPr>
        <w:t xml:space="preserve">, </w:t>
      </w:r>
      <w:r w:rsidRPr="006078A1">
        <w:rPr>
          <w:lang w:eastAsia="lt-LT"/>
        </w:rPr>
        <w:t>mieste – 10, Įstaigoje – 20</w:t>
      </w:r>
      <w:r w:rsidR="001D7E01">
        <w:rPr>
          <w:lang w:eastAsia="lt-LT"/>
        </w:rPr>
        <w:t xml:space="preserve">. </w:t>
      </w:r>
      <w:r w:rsidRPr="006078A1">
        <w:rPr>
          <w:lang w:eastAsia="lt-LT"/>
        </w:rPr>
        <w:t xml:space="preserve">Ugdymo proceso metu pedagogai savo darbe taikė inovacijas, naudojo IT programas: Padlet, Frepy planeta, Wordwall, Canva, Movie Maker, Thinglink, „Read.bookcreator“ įrankis, EMA (elektroninė mokymosi aplinka). Apibendrintos ir pateiktos rekomendacijos 24 pedagogų ataskaitoms. Paruošti metiniai Įstaigos veiklos, grupių ir neformaliojo vaikų švietimo programų planai. Grupių veiklos planavimas vykdytas per elektroninį dienyną „Mūsų darželis“. Įgyvendinant ikimokyklinio ir priešmokyklinio ugdymo programas, atliktas ikimokyklinio ir priešmokyklinio amžiaus vaikų pasiekimų kiekybinis vertinimas. Nustatytos ugdymo(si) pasiekimų kompetencijos ir sritys, kuriose vaikų pasiekimai yra aukšti: ikimokyklinio amžiaus grupėse – santykiai su bendraamžiais, iniciatyvumas ir atkaklumas, tyrinėjimas; priešmokyklinio ugdymo grupėse – pažinimo ir komunikavimo kompetencijos. </w:t>
      </w:r>
    </w:p>
    <w:p w:rsidR="006078A1" w:rsidRPr="006078A1" w:rsidRDefault="006078A1" w:rsidP="005623D9">
      <w:pPr>
        <w:tabs>
          <w:tab w:val="left" w:pos="1985"/>
        </w:tabs>
        <w:ind w:firstLine="567"/>
        <w:jc w:val="both"/>
        <w:rPr>
          <w:color w:val="000000"/>
        </w:rPr>
      </w:pPr>
      <w:r w:rsidRPr="006078A1">
        <w:rPr>
          <w:lang w:eastAsia="lt-LT"/>
        </w:rPr>
        <w:t>– įgyvendinant antrąjį uždavinį – ugdytinių patirčių ir motyvacijos bei saviraiškos didinimas – buvo sudarytos sąlygos vaikų užimtumui, veiklos įvairovei, gebėjimų, interesų, saviraiškos poreikių tenkinimui pagal Įstaigoje įgyvendinamas neformaliojo vaikų švietimo programas</w:t>
      </w:r>
      <w:r w:rsidR="0085318D">
        <w:rPr>
          <w:lang w:eastAsia="lt-LT"/>
        </w:rPr>
        <w:t>,</w:t>
      </w:r>
      <w:r w:rsidRPr="006078A1">
        <w:rPr>
          <w:lang w:eastAsia="lt-LT"/>
        </w:rPr>
        <w:t xml:space="preserve"> ilgalaikius tęstinius respublikinius projektus</w:t>
      </w:r>
      <w:r w:rsidR="0085318D">
        <w:rPr>
          <w:lang w:eastAsia="lt-LT"/>
        </w:rPr>
        <w:t>,</w:t>
      </w:r>
      <w:r w:rsidRPr="006078A1">
        <w:rPr>
          <w:lang w:eastAsia="lt-LT"/>
        </w:rPr>
        <w:t xml:space="preserve"> tarptautinę ankstyvosios prevencijos programą (,,Zipio draugai“), socialinio emocinio ugdymo programą („Kimochi“). </w:t>
      </w:r>
      <w:r w:rsidRPr="00713921">
        <w:rPr>
          <w:lang w:eastAsia="lt-LT"/>
        </w:rPr>
        <w:t xml:space="preserve">2022 m. Įstaigoje </w:t>
      </w:r>
      <w:r w:rsidR="0085318D" w:rsidRPr="00713921">
        <w:rPr>
          <w:lang w:eastAsia="lt-LT"/>
        </w:rPr>
        <w:t xml:space="preserve">vykdyti </w:t>
      </w:r>
      <w:r w:rsidRPr="00713921">
        <w:rPr>
          <w:lang w:eastAsia="lt-LT"/>
        </w:rPr>
        <w:t>25 projektai, dalyvauta 22 respublikos projektuose ir 6 tarptautiniuose projektuose</w:t>
      </w:r>
      <w:r w:rsidR="001D7E01" w:rsidRPr="00713921">
        <w:rPr>
          <w:lang w:eastAsia="lt-LT"/>
        </w:rPr>
        <w:t xml:space="preserve">. </w:t>
      </w:r>
      <w:r w:rsidRPr="00713921">
        <w:rPr>
          <w:lang w:eastAsia="lt-LT"/>
        </w:rPr>
        <w:t xml:space="preserve">Organizuoti 68 pažintiniai-edukaciniai ir kultūriniai-saviraiškos renginiai, kuriuose dalyvavo 190 Įstaigos ugdytinių. </w:t>
      </w:r>
    </w:p>
    <w:p w:rsidR="006078A1" w:rsidRPr="006078A1" w:rsidRDefault="006078A1" w:rsidP="005623D9">
      <w:pPr>
        <w:tabs>
          <w:tab w:val="left" w:pos="1985"/>
        </w:tabs>
        <w:ind w:firstLine="567"/>
        <w:jc w:val="both"/>
        <w:rPr>
          <w:color w:val="000000"/>
        </w:rPr>
      </w:pPr>
      <w:r w:rsidRPr="006078A1">
        <w:rPr>
          <w:color w:val="000000"/>
        </w:rPr>
        <w:lastRenderedPageBreak/>
        <w:t>Atliktas Įstaigos veiklos kokybės įsivertinimas.</w:t>
      </w:r>
      <w:r w:rsidRPr="006078A1">
        <w:rPr>
          <w:rFonts w:asciiTheme="minorHAnsi" w:eastAsiaTheme="minorHAnsi" w:hAnsiTheme="minorHAnsi" w:cstheme="minorBidi"/>
          <w:sz w:val="22"/>
          <w:szCs w:val="22"/>
        </w:rPr>
        <w:t xml:space="preserve"> </w:t>
      </w:r>
      <w:r w:rsidRPr="006078A1">
        <w:rPr>
          <w:color w:val="000000"/>
        </w:rPr>
        <w:t>Giluminio audito „Planavimo procedūrų kokybė“ išvad</w:t>
      </w:r>
      <w:r w:rsidR="001D7E01">
        <w:rPr>
          <w:color w:val="000000"/>
        </w:rPr>
        <w:t>a</w:t>
      </w:r>
      <w:r w:rsidRPr="006078A1">
        <w:rPr>
          <w:color w:val="000000"/>
        </w:rPr>
        <w:t xml:space="preserve">: Įstaigoje planavimo procedūrų kokybė gera. Įdiegtas elektroninis planavimo modelis elektroniniame dienyne „Mūsų darželis“ pagerino planavimo kokybę. Išanalizavus anketas paaiškėjo, kad daliai mokytojų trūksta žinių planuojant grupės veiklas specialiųjų </w:t>
      </w:r>
      <w:r w:rsidR="001D7E01">
        <w:rPr>
          <w:color w:val="000000"/>
        </w:rPr>
        <w:t xml:space="preserve">ugdymosi poreikių turintiems </w:t>
      </w:r>
      <w:r w:rsidRPr="006078A1">
        <w:rPr>
          <w:color w:val="000000"/>
        </w:rPr>
        <w:t xml:space="preserve">vaikams ir jų įtraukimą į ugdymo procesą. </w:t>
      </w:r>
    </w:p>
    <w:p w:rsidR="006078A1" w:rsidRDefault="006078A1" w:rsidP="00043743">
      <w:pPr>
        <w:ind w:firstLine="567"/>
        <w:jc w:val="both"/>
        <w:rPr>
          <w:lang w:eastAsia="lt-LT"/>
        </w:rPr>
      </w:pPr>
      <w:r w:rsidRPr="006078A1">
        <w:rPr>
          <w:color w:val="000000"/>
        </w:rPr>
        <w:t>–</w:t>
      </w:r>
      <w:r w:rsidRPr="0085318D">
        <w:t xml:space="preserve"> įgyvendinant </w:t>
      </w:r>
      <w:r w:rsidRPr="006078A1">
        <w:t xml:space="preserve">trečiąjį </w:t>
      </w:r>
      <w:r w:rsidRPr="006078A1">
        <w:rPr>
          <w:color w:val="000000"/>
        </w:rPr>
        <w:t>uždavinį – sute</w:t>
      </w:r>
      <w:r w:rsidR="0085318D">
        <w:rPr>
          <w:color w:val="000000"/>
        </w:rPr>
        <w:t>i</w:t>
      </w:r>
      <w:r w:rsidRPr="006078A1">
        <w:rPr>
          <w:color w:val="000000"/>
        </w:rPr>
        <w:t>kti ugdymo paslaugas įvairių gebėjimų vaikams, tobulinant ugdytinių pažangos ir pasiekimų vertinimą –</w:t>
      </w:r>
      <w:r w:rsidR="0085318D">
        <w:rPr>
          <w:lang w:eastAsia="lt-LT"/>
        </w:rPr>
        <w:t xml:space="preserve"> t</w:t>
      </w:r>
      <w:r w:rsidRPr="006078A1">
        <w:rPr>
          <w:lang w:eastAsia="lt-LT"/>
        </w:rPr>
        <w:t>eikta kokybiška specialioji (logopedinė) pagalba 43 Įstaigos ugdytiniams</w:t>
      </w:r>
      <w:r w:rsidR="001D7E01">
        <w:rPr>
          <w:lang w:eastAsia="lt-LT"/>
        </w:rPr>
        <w:t xml:space="preserve">, </w:t>
      </w:r>
      <w:r w:rsidRPr="006078A1">
        <w:rPr>
          <w:lang w:eastAsia="lt-LT"/>
        </w:rPr>
        <w:t xml:space="preserve">turintiems kalbos vystymosi raidos, kalbos ir kalbėjimo bei komunikacijos sutrikimų. Organizuota 11 Vaiko gerovės </w:t>
      </w:r>
      <w:r w:rsidR="00043743">
        <w:rPr>
          <w:lang w:eastAsia="lt-LT"/>
        </w:rPr>
        <w:t xml:space="preserve">komisijos </w:t>
      </w:r>
      <w:r w:rsidRPr="006078A1">
        <w:rPr>
          <w:lang w:eastAsia="lt-LT"/>
        </w:rPr>
        <w:t xml:space="preserve">posėdžių, paruoštos 9 pritaikytos ikimokyklinio ir priešmokyklinio ugdymo programos. Įstaigoje daugėja vaikų, turinčių elgesio, socialinių ir psichologinių sutrikimų. 2022 metais konsultacinę ir metodinę pagalbą Įstaigos pedagogams ir ugdytinių tėvams teikė Klaipėdos pedagoginės psichologinės tarnybos specialistai. Bendradarbiauta su </w:t>
      </w:r>
      <w:r w:rsidR="005623D9" w:rsidRPr="005623D9">
        <w:rPr>
          <w:lang w:eastAsia="lt-LT"/>
        </w:rPr>
        <w:t>Klaipėdos apskriti</w:t>
      </w:r>
      <w:r w:rsidR="005623D9">
        <w:rPr>
          <w:lang w:eastAsia="lt-LT"/>
        </w:rPr>
        <w:t>es vaiko teisių apsaugos skyriaus specialistais</w:t>
      </w:r>
      <w:r w:rsidRPr="009D4DC2">
        <w:rPr>
          <w:lang w:eastAsia="lt-LT"/>
        </w:rPr>
        <w:t xml:space="preserve">, </w:t>
      </w:r>
      <w:r w:rsidR="005623D9" w:rsidRPr="005623D9">
        <w:rPr>
          <w:lang w:eastAsia="lt-LT"/>
        </w:rPr>
        <w:t>Klaipėdos miesto</w:t>
      </w:r>
      <w:r w:rsidR="005623D9">
        <w:rPr>
          <w:lang w:eastAsia="lt-LT"/>
        </w:rPr>
        <w:t xml:space="preserve"> šeimos ir vaiko gerovės centro specialistais</w:t>
      </w:r>
      <w:r w:rsidRPr="009D4DC2">
        <w:rPr>
          <w:lang w:eastAsia="lt-LT"/>
        </w:rPr>
        <w:t>. Pedagogų lyderystė, glaudus bendradarbiavimas su socialiniais partneriais</w:t>
      </w:r>
      <w:r w:rsidRPr="006078A1">
        <w:rPr>
          <w:lang w:eastAsia="lt-LT"/>
        </w:rPr>
        <w:t xml:space="preserve"> ir šeimomis užtikrino ugdymo(si) proceso organizavimo, ugdymo turinio plėtros ir vaikų pasiekimų lygio kilimą.</w:t>
      </w:r>
    </w:p>
    <w:p w:rsidR="006078A1" w:rsidRPr="006078A1" w:rsidRDefault="006078A1" w:rsidP="005623D9">
      <w:pPr>
        <w:ind w:firstLine="567"/>
        <w:jc w:val="both"/>
        <w:rPr>
          <w:lang w:eastAsia="lt-LT"/>
        </w:rPr>
      </w:pPr>
      <w:r w:rsidRPr="006078A1">
        <w:rPr>
          <w:lang w:eastAsia="lt-LT"/>
        </w:rPr>
        <w:t xml:space="preserve">Siekiant strateginio plano antrojo tikslo – gerinti Įstaigos ugdymo sąlygas ir aplinką – Įstaigos veikla buvo orientuota į tikslingą, skaidrų ir taupų, materialinių ir finansinių išteklių panaudojimą, sprendimus derinant su Įstaigos bendruomene. Panaudojant valstybės, savivaldybės ir paramos lėšas, įsigyta edukacinių lauko įrenginių, atnaujinta patalpų būklė, įsigyta inventoriaus ir šiuolaikinių ugdymos(si) priemonių. Tikslui pasiekti buvo vykdomi trys Veiklos plano uždaviniai: </w:t>
      </w:r>
    </w:p>
    <w:p w:rsidR="006078A1" w:rsidRPr="006078A1" w:rsidRDefault="006078A1" w:rsidP="005623D9">
      <w:pPr>
        <w:ind w:firstLine="567"/>
        <w:jc w:val="both"/>
        <w:rPr>
          <w:lang w:eastAsia="lt-LT"/>
        </w:rPr>
      </w:pPr>
      <w:r w:rsidRPr="006078A1">
        <w:rPr>
          <w:lang w:eastAsia="lt-LT"/>
        </w:rPr>
        <w:t xml:space="preserve">– įgyvendinant pirmąjį uždavinį – </w:t>
      </w:r>
      <w:r w:rsidR="006C7345">
        <w:rPr>
          <w:lang w:eastAsia="lt-LT"/>
        </w:rPr>
        <w:t xml:space="preserve">grupių </w:t>
      </w:r>
      <w:r w:rsidRPr="006078A1">
        <w:rPr>
          <w:lang w:eastAsia="lt-LT"/>
        </w:rPr>
        <w:t xml:space="preserve">aplinkos </w:t>
      </w:r>
      <w:r w:rsidR="006C7345">
        <w:rPr>
          <w:lang w:eastAsia="lt-LT"/>
        </w:rPr>
        <w:t xml:space="preserve">atnaujinimas </w:t>
      </w:r>
      <w:r w:rsidRPr="006078A1">
        <w:rPr>
          <w:lang w:eastAsia="lt-LT"/>
        </w:rPr>
        <w:t>– buvo atlikta darbų už 15,1 tūkst. eurų. Suremontuotos keturių grupių miegamųjų patalpos, įrengtas oro kondicionavimas vienoje grupėje, , atlikti elektros ir santechnikos darbai.</w:t>
      </w:r>
    </w:p>
    <w:p w:rsidR="006078A1" w:rsidRPr="006078A1" w:rsidRDefault="006078A1" w:rsidP="005623D9">
      <w:pPr>
        <w:ind w:firstLine="567"/>
        <w:jc w:val="both"/>
        <w:rPr>
          <w:lang w:eastAsia="lt-LT"/>
        </w:rPr>
      </w:pPr>
      <w:r w:rsidRPr="006078A1">
        <w:rPr>
          <w:lang w:eastAsia="lt-LT"/>
        </w:rPr>
        <w:t xml:space="preserve">– įgyvendinant antrąjį uždavinį – lauko įrengimų, inventoriaus ir baldų grupėse atnaujinimas </w:t>
      </w:r>
      <w:r w:rsidR="006C7345" w:rsidRPr="006078A1">
        <w:rPr>
          <w:lang w:eastAsia="lt-LT"/>
        </w:rPr>
        <w:t>sumontuotas automatinių vartų įrengimas</w:t>
      </w:r>
      <w:r w:rsidR="006C7345">
        <w:rPr>
          <w:lang w:eastAsia="lt-LT"/>
        </w:rPr>
        <w:t xml:space="preserve">, </w:t>
      </w:r>
      <w:r w:rsidRPr="006078A1">
        <w:rPr>
          <w:lang w:eastAsia="lt-LT"/>
        </w:rPr>
        <w:t>įrengta lauko žaidimų aikštelė už 4,1 tūkst. eurų, panaudojant sukauptas paramos lėšas. Plėtojant aktyvaus ugdymo metodų taikymą ugdymo procese</w:t>
      </w:r>
      <w:r w:rsidR="006A357A">
        <w:rPr>
          <w:lang w:eastAsia="lt-LT"/>
        </w:rPr>
        <w:t>,</w:t>
      </w:r>
      <w:r w:rsidRPr="006078A1">
        <w:rPr>
          <w:lang w:eastAsia="lt-LT"/>
        </w:rPr>
        <w:t xml:space="preserve"> įsigyti vaikams pritaikyti minkšti baldai už 1,2 tūkst. eurų, patalynės komplektai, darbo rūbai.</w:t>
      </w:r>
    </w:p>
    <w:p w:rsidR="006078A1" w:rsidRPr="006078A1" w:rsidRDefault="006078A1" w:rsidP="00B06564">
      <w:pPr>
        <w:ind w:firstLine="567"/>
        <w:jc w:val="both"/>
        <w:rPr>
          <w:lang w:eastAsia="lt-LT"/>
        </w:rPr>
      </w:pPr>
      <w:r w:rsidRPr="006078A1">
        <w:rPr>
          <w:lang w:eastAsia="lt-LT"/>
        </w:rPr>
        <w:t>– įgyvendinant trečiąjį uždavinį – naujų technologijų ir priemonių įsigijimas – buvo siekiama atnaujinti edukacines priemones</w:t>
      </w:r>
      <w:r w:rsidR="006C7345">
        <w:rPr>
          <w:lang w:eastAsia="lt-LT"/>
        </w:rPr>
        <w:t xml:space="preserve">. </w:t>
      </w:r>
      <w:r w:rsidRPr="006078A1">
        <w:rPr>
          <w:lang w:eastAsia="lt-LT"/>
        </w:rPr>
        <w:t>Atnaujintos informacinės technologijos: 4 kompiuteriai, 1 projektorius, modernizuota internetinė svetainė. Įsigyta žaislų, edukacinių priemonių už 5,1 tūkst. eurų, sporto inventorius. Sustiprintas dėmesys skirtas COVID-19 ligos valdymui: įsigyta dezinfekcinių, higienos ir valymo priemonių už 0,4 tūkst. eurų.</w:t>
      </w:r>
    </w:p>
    <w:p w:rsidR="006078A1" w:rsidRPr="006078A1" w:rsidRDefault="006078A1" w:rsidP="00B06564">
      <w:pPr>
        <w:spacing w:after="160"/>
        <w:ind w:firstLine="567"/>
        <w:jc w:val="both"/>
        <w:rPr>
          <w:rFonts w:eastAsiaTheme="minorHAnsi"/>
          <w:b/>
        </w:rPr>
      </w:pPr>
      <w:r w:rsidRPr="006078A1">
        <w:rPr>
          <w:rFonts w:eastAsiaTheme="minorHAnsi"/>
        </w:rPr>
        <w:t>Finansinė informacija:</w:t>
      </w:r>
    </w:p>
    <w:tbl>
      <w:tblPr>
        <w:tblStyle w:val="Lentelstinklelis"/>
        <w:tblW w:w="0" w:type="auto"/>
        <w:tblInd w:w="108" w:type="dxa"/>
        <w:tblLook w:val="04A0" w:firstRow="1" w:lastRow="0" w:firstColumn="1" w:lastColumn="0" w:noHBand="0" w:noVBand="1"/>
      </w:tblPr>
      <w:tblGrid>
        <w:gridCol w:w="2877"/>
        <w:gridCol w:w="1518"/>
        <w:gridCol w:w="1383"/>
        <w:gridCol w:w="1283"/>
        <w:gridCol w:w="2578"/>
      </w:tblGrid>
      <w:tr w:rsidR="006078A1" w:rsidRPr="006078A1" w:rsidTr="00EB2F6A">
        <w:tc>
          <w:tcPr>
            <w:tcW w:w="2877" w:type="dxa"/>
            <w:vMerge w:val="restart"/>
            <w:tcBorders>
              <w:top w:val="single" w:sz="4" w:space="0" w:color="auto"/>
              <w:left w:val="single" w:sz="4" w:space="0" w:color="auto"/>
              <w:bottom w:val="single" w:sz="4" w:space="0" w:color="auto"/>
              <w:right w:val="single" w:sz="4" w:space="0" w:color="auto"/>
            </w:tcBorders>
            <w:hideMark/>
          </w:tcPr>
          <w:p w:rsidR="006078A1" w:rsidRPr="006078A1" w:rsidRDefault="006078A1" w:rsidP="00B06564">
            <w:pPr>
              <w:spacing w:after="160"/>
              <w:jc w:val="center"/>
            </w:pPr>
            <w:r w:rsidRPr="006078A1">
              <w:t>Finansavimo šaltinis</w:t>
            </w:r>
          </w:p>
        </w:tc>
        <w:tc>
          <w:tcPr>
            <w:tcW w:w="4184" w:type="dxa"/>
            <w:gridSpan w:val="3"/>
            <w:tcBorders>
              <w:top w:val="single" w:sz="4" w:space="0" w:color="auto"/>
              <w:left w:val="single" w:sz="4" w:space="0" w:color="auto"/>
              <w:bottom w:val="single" w:sz="4" w:space="0" w:color="auto"/>
              <w:right w:val="single" w:sz="4" w:space="0" w:color="auto"/>
            </w:tcBorders>
            <w:hideMark/>
          </w:tcPr>
          <w:p w:rsidR="006078A1" w:rsidRPr="006078A1" w:rsidRDefault="006078A1" w:rsidP="00B06564">
            <w:pPr>
              <w:spacing w:after="160"/>
              <w:jc w:val="center"/>
            </w:pPr>
            <w:r w:rsidRPr="006078A1">
              <w:t>Lėšos (tūkst. eurų)</w:t>
            </w:r>
          </w:p>
        </w:tc>
        <w:tc>
          <w:tcPr>
            <w:tcW w:w="2578" w:type="dxa"/>
            <w:vMerge w:val="restart"/>
            <w:tcBorders>
              <w:top w:val="single" w:sz="4" w:space="0" w:color="auto"/>
              <w:left w:val="single" w:sz="4" w:space="0" w:color="auto"/>
              <w:right w:val="single" w:sz="4" w:space="0" w:color="auto"/>
            </w:tcBorders>
          </w:tcPr>
          <w:p w:rsidR="006078A1" w:rsidRPr="006078A1" w:rsidRDefault="006078A1" w:rsidP="00B06564">
            <w:pPr>
              <w:spacing w:after="160"/>
              <w:jc w:val="both"/>
            </w:pPr>
            <w:r w:rsidRPr="006078A1">
              <w:t>Pastabos</w:t>
            </w:r>
          </w:p>
          <w:p w:rsidR="006078A1" w:rsidRPr="006078A1" w:rsidRDefault="006078A1" w:rsidP="00B06564">
            <w:pPr>
              <w:spacing w:after="160"/>
              <w:jc w:val="center"/>
            </w:pPr>
          </w:p>
        </w:tc>
      </w:tr>
      <w:tr w:rsidR="006078A1" w:rsidRPr="006078A1" w:rsidTr="00EB2F6A">
        <w:trPr>
          <w:trHeight w:val="485"/>
        </w:trPr>
        <w:tc>
          <w:tcPr>
            <w:tcW w:w="2877" w:type="dxa"/>
            <w:vMerge/>
            <w:tcBorders>
              <w:top w:val="single" w:sz="4" w:space="0" w:color="auto"/>
              <w:left w:val="single" w:sz="4" w:space="0" w:color="auto"/>
              <w:bottom w:val="single" w:sz="4" w:space="0" w:color="auto"/>
              <w:right w:val="single" w:sz="4" w:space="0" w:color="auto"/>
            </w:tcBorders>
            <w:vAlign w:val="center"/>
            <w:hideMark/>
          </w:tcPr>
          <w:p w:rsidR="006078A1" w:rsidRPr="006078A1" w:rsidRDefault="006078A1" w:rsidP="006078A1">
            <w:pPr>
              <w:spacing w:after="160" w:line="259" w:lineRule="auto"/>
            </w:pPr>
          </w:p>
        </w:tc>
        <w:tc>
          <w:tcPr>
            <w:tcW w:w="1518" w:type="dxa"/>
            <w:tcBorders>
              <w:top w:val="single" w:sz="4" w:space="0" w:color="auto"/>
              <w:left w:val="single" w:sz="4" w:space="0" w:color="auto"/>
              <w:bottom w:val="single" w:sz="4" w:space="0" w:color="auto"/>
              <w:right w:val="single" w:sz="4" w:space="0" w:color="auto"/>
            </w:tcBorders>
            <w:hideMark/>
          </w:tcPr>
          <w:p w:rsidR="006078A1" w:rsidRPr="006078A1" w:rsidRDefault="006078A1" w:rsidP="006078A1">
            <w:pPr>
              <w:spacing w:after="160" w:line="259" w:lineRule="auto"/>
            </w:pPr>
            <w:r w:rsidRPr="006078A1">
              <w:t>Planas (patikslintas)</w:t>
            </w:r>
          </w:p>
        </w:tc>
        <w:tc>
          <w:tcPr>
            <w:tcW w:w="1383" w:type="dxa"/>
            <w:tcBorders>
              <w:top w:val="single" w:sz="4" w:space="0" w:color="auto"/>
              <w:left w:val="single" w:sz="4" w:space="0" w:color="auto"/>
              <w:bottom w:val="single" w:sz="4" w:space="0" w:color="auto"/>
              <w:right w:val="single" w:sz="4" w:space="0" w:color="auto"/>
            </w:tcBorders>
            <w:hideMark/>
          </w:tcPr>
          <w:p w:rsidR="006078A1" w:rsidRPr="006078A1" w:rsidRDefault="006078A1" w:rsidP="006078A1">
            <w:pPr>
              <w:spacing w:after="160" w:line="259" w:lineRule="auto"/>
            </w:pPr>
            <w:r w:rsidRPr="006078A1">
              <w:t>Panaudota lėšų</w:t>
            </w:r>
          </w:p>
        </w:tc>
        <w:tc>
          <w:tcPr>
            <w:tcW w:w="1283" w:type="dxa"/>
            <w:tcBorders>
              <w:top w:val="single" w:sz="4" w:space="0" w:color="auto"/>
              <w:left w:val="single" w:sz="4" w:space="0" w:color="auto"/>
              <w:bottom w:val="single" w:sz="4" w:space="0" w:color="auto"/>
              <w:right w:val="single" w:sz="4" w:space="0" w:color="auto"/>
            </w:tcBorders>
            <w:hideMark/>
          </w:tcPr>
          <w:p w:rsidR="006078A1" w:rsidRPr="006078A1" w:rsidRDefault="006078A1" w:rsidP="006078A1">
            <w:pPr>
              <w:spacing w:after="160" w:line="259" w:lineRule="auto"/>
            </w:pPr>
            <w:r w:rsidRPr="006078A1">
              <w:t>Įvykdymas (%)</w:t>
            </w:r>
          </w:p>
        </w:tc>
        <w:tc>
          <w:tcPr>
            <w:tcW w:w="2578" w:type="dxa"/>
            <w:vMerge/>
            <w:tcBorders>
              <w:left w:val="single" w:sz="4" w:space="0" w:color="auto"/>
              <w:bottom w:val="single" w:sz="4" w:space="0" w:color="auto"/>
              <w:right w:val="single" w:sz="4" w:space="0" w:color="auto"/>
            </w:tcBorders>
          </w:tcPr>
          <w:p w:rsidR="006078A1" w:rsidRPr="006078A1" w:rsidRDefault="006078A1" w:rsidP="006078A1">
            <w:pPr>
              <w:spacing w:after="160" w:line="259" w:lineRule="auto"/>
            </w:pPr>
          </w:p>
        </w:tc>
      </w:tr>
      <w:tr w:rsidR="006078A1" w:rsidRPr="006078A1" w:rsidTr="00EB2F6A">
        <w:trPr>
          <w:trHeight w:val="548"/>
        </w:trPr>
        <w:tc>
          <w:tcPr>
            <w:tcW w:w="2877" w:type="dxa"/>
            <w:tcBorders>
              <w:top w:val="single" w:sz="4" w:space="0" w:color="auto"/>
              <w:left w:val="single" w:sz="4" w:space="0" w:color="auto"/>
              <w:bottom w:val="single" w:sz="4" w:space="0" w:color="auto"/>
              <w:right w:val="single" w:sz="4" w:space="0" w:color="auto"/>
            </w:tcBorders>
            <w:hideMark/>
          </w:tcPr>
          <w:p w:rsidR="006078A1" w:rsidRPr="006078A1" w:rsidRDefault="006078A1" w:rsidP="005D14D2">
            <w:r w:rsidRPr="006078A1">
              <w:t>Savivaldybės biudžetas (SB)</w:t>
            </w:r>
          </w:p>
        </w:tc>
        <w:tc>
          <w:tcPr>
            <w:tcW w:w="1518"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574,1</w:t>
            </w:r>
          </w:p>
        </w:tc>
        <w:tc>
          <w:tcPr>
            <w:tcW w:w="1383"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571,9</w:t>
            </w:r>
          </w:p>
        </w:tc>
        <w:tc>
          <w:tcPr>
            <w:tcW w:w="1283"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99,6</w:t>
            </w:r>
          </w:p>
        </w:tc>
        <w:tc>
          <w:tcPr>
            <w:tcW w:w="2578" w:type="dxa"/>
            <w:tcBorders>
              <w:top w:val="single" w:sz="4" w:space="0" w:color="auto"/>
              <w:left w:val="single" w:sz="4" w:space="0" w:color="auto"/>
              <w:bottom w:val="single" w:sz="4" w:space="0" w:color="auto"/>
              <w:right w:val="single" w:sz="4" w:space="0" w:color="auto"/>
            </w:tcBorders>
          </w:tcPr>
          <w:p w:rsidR="006078A1" w:rsidRPr="006078A1" w:rsidRDefault="006078A1" w:rsidP="005D14D2">
            <w:pPr>
              <w:spacing w:line="259" w:lineRule="auto"/>
            </w:pPr>
          </w:p>
        </w:tc>
      </w:tr>
      <w:tr w:rsidR="006078A1" w:rsidRPr="006078A1" w:rsidTr="00EB2F6A">
        <w:trPr>
          <w:trHeight w:val="272"/>
        </w:trPr>
        <w:tc>
          <w:tcPr>
            <w:tcW w:w="2877" w:type="dxa"/>
            <w:tcBorders>
              <w:top w:val="single" w:sz="4" w:space="0" w:color="auto"/>
              <w:left w:val="single" w:sz="4" w:space="0" w:color="auto"/>
              <w:bottom w:val="single" w:sz="4" w:space="0" w:color="auto"/>
              <w:right w:val="single" w:sz="4" w:space="0" w:color="auto"/>
            </w:tcBorders>
            <w:hideMark/>
          </w:tcPr>
          <w:p w:rsidR="006078A1" w:rsidRPr="006078A1" w:rsidRDefault="006078A1" w:rsidP="005D14D2">
            <w:r w:rsidRPr="006078A1">
              <w:t>Specialioji tikslinė dotacija (VB)</w:t>
            </w:r>
          </w:p>
        </w:tc>
        <w:tc>
          <w:tcPr>
            <w:tcW w:w="1518"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340,6</w:t>
            </w:r>
          </w:p>
        </w:tc>
        <w:tc>
          <w:tcPr>
            <w:tcW w:w="1383"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340,4</w:t>
            </w:r>
          </w:p>
        </w:tc>
        <w:tc>
          <w:tcPr>
            <w:tcW w:w="1283"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99,9</w:t>
            </w:r>
          </w:p>
        </w:tc>
        <w:tc>
          <w:tcPr>
            <w:tcW w:w="2578" w:type="dxa"/>
            <w:tcBorders>
              <w:top w:val="single" w:sz="4" w:space="0" w:color="auto"/>
              <w:left w:val="single" w:sz="4" w:space="0" w:color="auto"/>
              <w:bottom w:val="single" w:sz="4" w:space="0" w:color="auto"/>
              <w:right w:val="single" w:sz="4" w:space="0" w:color="auto"/>
            </w:tcBorders>
          </w:tcPr>
          <w:p w:rsidR="006078A1" w:rsidRPr="006078A1" w:rsidRDefault="006078A1" w:rsidP="005D14D2">
            <w:pPr>
              <w:spacing w:line="259" w:lineRule="auto"/>
            </w:pPr>
          </w:p>
        </w:tc>
      </w:tr>
      <w:tr w:rsidR="006078A1" w:rsidRPr="006078A1" w:rsidTr="00EB2F6A">
        <w:tc>
          <w:tcPr>
            <w:tcW w:w="2877" w:type="dxa"/>
            <w:tcBorders>
              <w:top w:val="single" w:sz="4" w:space="0" w:color="auto"/>
              <w:left w:val="single" w:sz="4" w:space="0" w:color="auto"/>
              <w:bottom w:val="single" w:sz="4" w:space="0" w:color="auto"/>
              <w:right w:val="single" w:sz="4" w:space="0" w:color="auto"/>
            </w:tcBorders>
            <w:hideMark/>
          </w:tcPr>
          <w:p w:rsidR="006078A1" w:rsidRPr="006078A1" w:rsidRDefault="006078A1" w:rsidP="005D14D2">
            <w:r w:rsidRPr="006078A1">
              <w:t>Įstaigos gautos pajamos (surinkta pajamų SP), iš jų:</w:t>
            </w:r>
          </w:p>
        </w:tc>
        <w:tc>
          <w:tcPr>
            <w:tcW w:w="1518" w:type="dxa"/>
            <w:tcBorders>
              <w:top w:val="single" w:sz="4" w:space="0" w:color="auto"/>
              <w:left w:val="single" w:sz="4" w:space="0" w:color="auto"/>
              <w:bottom w:val="single" w:sz="4" w:space="0" w:color="auto"/>
              <w:right w:val="single" w:sz="4" w:space="0" w:color="auto"/>
            </w:tcBorders>
          </w:tcPr>
          <w:p w:rsidR="006078A1" w:rsidRPr="006078A1" w:rsidRDefault="006078A1" w:rsidP="005D14D2"/>
        </w:tc>
        <w:tc>
          <w:tcPr>
            <w:tcW w:w="1383" w:type="dxa"/>
            <w:tcBorders>
              <w:top w:val="single" w:sz="4" w:space="0" w:color="auto"/>
              <w:left w:val="single" w:sz="4" w:space="0" w:color="auto"/>
              <w:bottom w:val="single" w:sz="4" w:space="0" w:color="auto"/>
              <w:right w:val="single" w:sz="4" w:space="0" w:color="auto"/>
            </w:tcBorders>
          </w:tcPr>
          <w:p w:rsidR="006078A1" w:rsidRPr="006078A1" w:rsidRDefault="006078A1" w:rsidP="005D14D2"/>
        </w:tc>
        <w:tc>
          <w:tcPr>
            <w:tcW w:w="1283" w:type="dxa"/>
            <w:tcBorders>
              <w:top w:val="single" w:sz="4" w:space="0" w:color="auto"/>
              <w:left w:val="single" w:sz="4" w:space="0" w:color="auto"/>
              <w:bottom w:val="single" w:sz="4" w:space="0" w:color="auto"/>
              <w:right w:val="single" w:sz="4" w:space="0" w:color="auto"/>
            </w:tcBorders>
          </w:tcPr>
          <w:p w:rsidR="006078A1" w:rsidRPr="006078A1" w:rsidRDefault="006078A1" w:rsidP="005D14D2"/>
        </w:tc>
        <w:tc>
          <w:tcPr>
            <w:tcW w:w="2578" w:type="dxa"/>
            <w:tcBorders>
              <w:top w:val="single" w:sz="4" w:space="0" w:color="auto"/>
              <w:left w:val="single" w:sz="4" w:space="0" w:color="auto"/>
              <w:bottom w:val="single" w:sz="4" w:space="0" w:color="auto"/>
              <w:right w:val="single" w:sz="4" w:space="0" w:color="auto"/>
            </w:tcBorders>
          </w:tcPr>
          <w:p w:rsidR="006078A1" w:rsidRPr="006078A1" w:rsidRDefault="006078A1" w:rsidP="005D14D2">
            <w:pPr>
              <w:spacing w:line="259" w:lineRule="auto"/>
            </w:pPr>
          </w:p>
        </w:tc>
      </w:tr>
      <w:tr w:rsidR="006078A1" w:rsidRPr="006078A1" w:rsidTr="00EB2F6A">
        <w:trPr>
          <w:trHeight w:val="477"/>
        </w:trPr>
        <w:tc>
          <w:tcPr>
            <w:tcW w:w="2877" w:type="dxa"/>
            <w:tcBorders>
              <w:top w:val="single" w:sz="4" w:space="0" w:color="auto"/>
              <w:left w:val="single" w:sz="4" w:space="0" w:color="auto"/>
              <w:bottom w:val="single" w:sz="4" w:space="0" w:color="auto"/>
              <w:right w:val="single" w:sz="4" w:space="0" w:color="auto"/>
            </w:tcBorders>
            <w:hideMark/>
          </w:tcPr>
          <w:p w:rsidR="006078A1" w:rsidRPr="006078A1" w:rsidRDefault="006078A1" w:rsidP="005D14D2">
            <w:r w:rsidRPr="006078A1">
              <w:t>Pajamų išlaidos (SP)</w:t>
            </w:r>
          </w:p>
        </w:tc>
        <w:tc>
          <w:tcPr>
            <w:tcW w:w="1518" w:type="dxa"/>
            <w:tcBorders>
              <w:top w:val="single" w:sz="4" w:space="0" w:color="auto"/>
              <w:left w:val="single" w:sz="4" w:space="0" w:color="auto"/>
              <w:bottom w:val="single" w:sz="4" w:space="0" w:color="auto"/>
              <w:right w:val="single" w:sz="4" w:space="0" w:color="auto"/>
            </w:tcBorders>
            <w:hideMark/>
          </w:tcPr>
          <w:p w:rsidR="006078A1" w:rsidRPr="006078A1" w:rsidRDefault="006078A1" w:rsidP="005D14D2">
            <w:r w:rsidRPr="006078A1">
              <w:t>108,1</w:t>
            </w:r>
          </w:p>
        </w:tc>
        <w:tc>
          <w:tcPr>
            <w:tcW w:w="1383"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91,3</w:t>
            </w:r>
          </w:p>
        </w:tc>
        <w:tc>
          <w:tcPr>
            <w:tcW w:w="1283"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84,5</w:t>
            </w:r>
          </w:p>
        </w:tc>
        <w:tc>
          <w:tcPr>
            <w:tcW w:w="2578" w:type="dxa"/>
            <w:tcBorders>
              <w:top w:val="single" w:sz="4" w:space="0" w:color="auto"/>
              <w:left w:val="single" w:sz="4" w:space="0" w:color="auto"/>
              <w:bottom w:val="single" w:sz="4" w:space="0" w:color="auto"/>
              <w:right w:val="single" w:sz="4" w:space="0" w:color="auto"/>
            </w:tcBorders>
          </w:tcPr>
          <w:p w:rsidR="006078A1" w:rsidRPr="006078A1" w:rsidRDefault="006078A1" w:rsidP="005D14D2">
            <w:pPr>
              <w:spacing w:line="259" w:lineRule="auto"/>
            </w:pPr>
            <w:r w:rsidRPr="006078A1">
              <w:t>Dėl mažo vaikų lankomumo nesurinktos planuotos lėšos</w:t>
            </w:r>
          </w:p>
        </w:tc>
      </w:tr>
      <w:tr w:rsidR="006078A1" w:rsidRPr="006078A1" w:rsidTr="00EB2F6A">
        <w:trPr>
          <w:trHeight w:val="689"/>
        </w:trPr>
        <w:tc>
          <w:tcPr>
            <w:tcW w:w="2877" w:type="dxa"/>
            <w:tcBorders>
              <w:top w:val="single" w:sz="4" w:space="0" w:color="auto"/>
              <w:left w:val="single" w:sz="4" w:space="0" w:color="auto"/>
              <w:bottom w:val="single" w:sz="4" w:space="0" w:color="auto"/>
              <w:right w:val="single" w:sz="4" w:space="0" w:color="auto"/>
            </w:tcBorders>
            <w:hideMark/>
          </w:tcPr>
          <w:p w:rsidR="006078A1" w:rsidRPr="006078A1" w:rsidRDefault="006078A1" w:rsidP="005D14D2">
            <w:r w:rsidRPr="006078A1">
              <w:t>Kitos lėšos (parama 1,2 % GPM ir kt.)</w:t>
            </w:r>
          </w:p>
        </w:tc>
        <w:tc>
          <w:tcPr>
            <w:tcW w:w="1518"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3,5</w:t>
            </w:r>
          </w:p>
        </w:tc>
        <w:tc>
          <w:tcPr>
            <w:tcW w:w="1383"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1,6</w:t>
            </w:r>
          </w:p>
        </w:tc>
        <w:tc>
          <w:tcPr>
            <w:tcW w:w="1283"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45,7</w:t>
            </w:r>
          </w:p>
        </w:tc>
        <w:tc>
          <w:tcPr>
            <w:tcW w:w="2578"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Lėšos kaupiamos žaidimų aikštelei</w:t>
            </w:r>
          </w:p>
        </w:tc>
      </w:tr>
      <w:tr w:rsidR="006078A1" w:rsidRPr="006078A1" w:rsidTr="00EB2F6A">
        <w:trPr>
          <w:trHeight w:val="271"/>
        </w:trPr>
        <w:tc>
          <w:tcPr>
            <w:tcW w:w="2877" w:type="dxa"/>
            <w:tcBorders>
              <w:top w:val="single" w:sz="4" w:space="0" w:color="auto"/>
              <w:left w:val="single" w:sz="4" w:space="0" w:color="auto"/>
              <w:bottom w:val="single" w:sz="4" w:space="0" w:color="auto"/>
              <w:right w:val="single" w:sz="4" w:space="0" w:color="auto"/>
            </w:tcBorders>
            <w:hideMark/>
          </w:tcPr>
          <w:p w:rsidR="006078A1" w:rsidRPr="006078A1" w:rsidRDefault="006078A1" w:rsidP="005D14D2">
            <w:r w:rsidRPr="006078A1">
              <w:t>Iš viso</w:t>
            </w:r>
          </w:p>
        </w:tc>
        <w:tc>
          <w:tcPr>
            <w:tcW w:w="1518"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1026,3</w:t>
            </w:r>
          </w:p>
        </w:tc>
        <w:tc>
          <w:tcPr>
            <w:tcW w:w="1383"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1005,2</w:t>
            </w:r>
          </w:p>
        </w:tc>
        <w:tc>
          <w:tcPr>
            <w:tcW w:w="1283" w:type="dxa"/>
            <w:tcBorders>
              <w:top w:val="single" w:sz="4" w:space="0" w:color="auto"/>
              <w:left w:val="single" w:sz="4" w:space="0" w:color="auto"/>
              <w:bottom w:val="single" w:sz="4" w:space="0" w:color="auto"/>
              <w:right w:val="single" w:sz="4" w:space="0" w:color="auto"/>
            </w:tcBorders>
          </w:tcPr>
          <w:p w:rsidR="006078A1" w:rsidRPr="006078A1" w:rsidRDefault="00B06564" w:rsidP="005D14D2">
            <w:r>
              <w:t>97,94</w:t>
            </w:r>
          </w:p>
        </w:tc>
        <w:tc>
          <w:tcPr>
            <w:tcW w:w="2578" w:type="dxa"/>
            <w:tcBorders>
              <w:top w:val="single" w:sz="4" w:space="0" w:color="auto"/>
              <w:left w:val="single" w:sz="4" w:space="0" w:color="auto"/>
              <w:bottom w:val="single" w:sz="4" w:space="0" w:color="auto"/>
              <w:right w:val="single" w:sz="4" w:space="0" w:color="auto"/>
            </w:tcBorders>
          </w:tcPr>
          <w:p w:rsidR="006078A1" w:rsidRPr="006078A1" w:rsidRDefault="006078A1" w:rsidP="005D14D2"/>
        </w:tc>
      </w:tr>
      <w:tr w:rsidR="006078A1" w:rsidRPr="006078A1" w:rsidTr="00EB2F6A">
        <w:tc>
          <w:tcPr>
            <w:tcW w:w="5778" w:type="dxa"/>
            <w:gridSpan w:val="3"/>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lastRenderedPageBreak/>
              <w:t>Kreditinis įsiskolinimas (pagal visus finansavimo šaltinius</w:t>
            </w:r>
            <w:r w:rsidRPr="00372E57">
              <w:t xml:space="preserve">) </w:t>
            </w:r>
            <w:r w:rsidR="006C7345" w:rsidRPr="00372E57">
              <w:t>202</w:t>
            </w:r>
            <w:r w:rsidR="00713921">
              <w:t>3</w:t>
            </w:r>
            <w:r w:rsidRPr="00372E57">
              <w:t xml:space="preserve"> m. sausio 1 d.</w:t>
            </w:r>
            <w:r w:rsidRPr="006078A1">
              <w:t xml:space="preserve"> </w:t>
            </w:r>
          </w:p>
        </w:tc>
        <w:tc>
          <w:tcPr>
            <w:tcW w:w="1283" w:type="dxa"/>
            <w:tcBorders>
              <w:top w:val="single" w:sz="4" w:space="0" w:color="auto"/>
              <w:left w:val="single" w:sz="4" w:space="0" w:color="auto"/>
              <w:bottom w:val="single" w:sz="4" w:space="0" w:color="auto"/>
              <w:right w:val="single" w:sz="4" w:space="0" w:color="auto"/>
            </w:tcBorders>
          </w:tcPr>
          <w:p w:rsidR="006078A1" w:rsidRPr="006078A1" w:rsidRDefault="006078A1" w:rsidP="005D14D2"/>
        </w:tc>
        <w:tc>
          <w:tcPr>
            <w:tcW w:w="2578" w:type="dxa"/>
            <w:tcBorders>
              <w:top w:val="single" w:sz="4" w:space="0" w:color="auto"/>
              <w:left w:val="single" w:sz="4" w:space="0" w:color="auto"/>
              <w:bottom w:val="single" w:sz="4" w:space="0" w:color="auto"/>
              <w:right w:val="single" w:sz="4" w:space="0" w:color="auto"/>
            </w:tcBorders>
          </w:tcPr>
          <w:p w:rsidR="006078A1" w:rsidRPr="006078A1" w:rsidRDefault="006078A1" w:rsidP="005D14D2">
            <w:r w:rsidRPr="006078A1">
              <w:t xml:space="preserve">Mitybos išlaidos – 0,5 </w:t>
            </w:r>
            <w:r w:rsidR="005D14D2">
              <w:t xml:space="preserve">tūkst. Eur – sąskaita </w:t>
            </w:r>
            <w:r w:rsidR="005D14D2" w:rsidRPr="006078A1">
              <w:t>už produktus</w:t>
            </w:r>
            <w:r w:rsidR="005D14D2">
              <w:t xml:space="preserve"> gauta </w:t>
            </w:r>
            <w:r w:rsidRPr="006078A1">
              <w:t>po gruodžio 20 d.</w:t>
            </w:r>
          </w:p>
          <w:p w:rsidR="006078A1" w:rsidRPr="006078A1" w:rsidRDefault="006078A1" w:rsidP="005D14D2">
            <w:r w:rsidRPr="006078A1">
              <w:t xml:space="preserve">Ryšio paslaugos – 0,05 </w:t>
            </w:r>
            <w:r w:rsidR="005D14D2">
              <w:t xml:space="preserve">tūkst. Eur – </w:t>
            </w:r>
            <w:r w:rsidRPr="006078A1">
              <w:t>sąskaita išrašyta sausio mėn.</w:t>
            </w:r>
          </w:p>
        </w:tc>
      </w:tr>
    </w:tbl>
    <w:p w:rsidR="006078A1" w:rsidRDefault="006078A1" w:rsidP="00856661">
      <w:pPr>
        <w:tabs>
          <w:tab w:val="left" w:pos="284"/>
          <w:tab w:val="left" w:pos="426"/>
        </w:tabs>
        <w:ind w:firstLine="567"/>
        <w:jc w:val="both"/>
        <w:rPr>
          <w:rFonts w:eastAsiaTheme="minorHAnsi"/>
          <w:lang w:eastAsia="lt-LT"/>
        </w:rPr>
      </w:pPr>
      <w:r w:rsidRPr="006078A1">
        <w:rPr>
          <w:rFonts w:eastAsiaTheme="minorHAnsi"/>
          <w:lang w:eastAsia="lt-LT"/>
        </w:rPr>
        <w:t xml:space="preserve">2022 m. Įstaigoje atlikti patikrinimai: Valstybinės maisto ir veterinarijos tarnybos Klaipėdos departamentas </w:t>
      </w:r>
      <w:r w:rsidR="00D64252">
        <w:rPr>
          <w:rFonts w:eastAsiaTheme="minorHAnsi"/>
          <w:lang w:eastAsia="lt-LT"/>
        </w:rPr>
        <w:t>(</w:t>
      </w:r>
      <w:r w:rsidRPr="006078A1">
        <w:rPr>
          <w:rFonts w:eastAsiaTheme="minorHAnsi"/>
          <w:lang w:eastAsia="lt-LT"/>
        </w:rPr>
        <w:t>2022</w:t>
      </w:r>
      <w:r w:rsidR="00D64252">
        <w:rPr>
          <w:rFonts w:eastAsiaTheme="minorHAnsi"/>
          <w:lang w:eastAsia="lt-LT"/>
        </w:rPr>
        <w:t>-</w:t>
      </w:r>
      <w:r w:rsidRPr="006078A1">
        <w:rPr>
          <w:rFonts w:eastAsiaTheme="minorHAnsi"/>
          <w:lang w:eastAsia="lt-LT"/>
        </w:rPr>
        <w:t>02</w:t>
      </w:r>
      <w:r w:rsidR="00D64252">
        <w:rPr>
          <w:rFonts w:eastAsiaTheme="minorHAnsi"/>
          <w:lang w:eastAsia="lt-LT"/>
        </w:rPr>
        <w:t>-</w:t>
      </w:r>
      <w:r w:rsidRPr="006078A1">
        <w:rPr>
          <w:rFonts w:eastAsiaTheme="minorHAnsi"/>
          <w:lang w:eastAsia="lt-LT"/>
        </w:rPr>
        <w:t>24 akto Nr.</w:t>
      </w:r>
      <w:r w:rsidR="00D64252">
        <w:rPr>
          <w:rFonts w:eastAsiaTheme="minorHAnsi"/>
          <w:lang w:eastAsia="lt-LT"/>
        </w:rPr>
        <w:t xml:space="preserve"> </w:t>
      </w:r>
      <w:r w:rsidRPr="006078A1">
        <w:rPr>
          <w:rFonts w:eastAsiaTheme="minorHAnsi"/>
          <w:lang w:eastAsia="lt-LT"/>
        </w:rPr>
        <w:t>37VPMĮP-1159</w:t>
      </w:r>
      <w:r w:rsidR="00D64252">
        <w:rPr>
          <w:rFonts w:eastAsiaTheme="minorHAnsi"/>
          <w:lang w:eastAsia="lt-LT"/>
        </w:rPr>
        <w:t>),</w:t>
      </w:r>
      <w:r w:rsidRPr="006078A1">
        <w:rPr>
          <w:rFonts w:eastAsiaTheme="minorHAnsi"/>
          <w:lang w:eastAsia="lt-LT"/>
        </w:rPr>
        <w:t xml:space="preserve"> Lietuvos metrologijos inspekcijos </w:t>
      </w:r>
      <w:r w:rsidR="005623D9">
        <w:rPr>
          <w:rFonts w:eastAsiaTheme="minorHAnsi"/>
          <w:lang w:eastAsia="lt-LT"/>
        </w:rPr>
        <w:t>V</w:t>
      </w:r>
      <w:r w:rsidRPr="005623D9">
        <w:rPr>
          <w:rFonts w:eastAsiaTheme="minorHAnsi"/>
          <w:lang w:eastAsia="lt-LT"/>
        </w:rPr>
        <w:t xml:space="preserve">akarų </w:t>
      </w:r>
      <w:r w:rsidRPr="006078A1">
        <w:rPr>
          <w:rFonts w:eastAsiaTheme="minorHAnsi"/>
          <w:lang w:eastAsia="lt-LT"/>
        </w:rPr>
        <w:t xml:space="preserve">regiono skyrius </w:t>
      </w:r>
      <w:r w:rsidR="00D64252">
        <w:rPr>
          <w:rFonts w:eastAsiaTheme="minorHAnsi"/>
          <w:lang w:eastAsia="lt-LT"/>
        </w:rPr>
        <w:t>(</w:t>
      </w:r>
      <w:r w:rsidRPr="006078A1">
        <w:rPr>
          <w:rFonts w:eastAsiaTheme="minorHAnsi"/>
          <w:lang w:eastAsia="lt-LT"/>
        </w:rPr>
        <w:t>2022</w:t>
      </w:r>
      <w:r w:rsidR="00D64252">
        <w:rPr>
          <w:rFonts w:eastAsiaTheme="minorHAnsi"/>
          <w:lang w:eastAsia="lt-LT"/>
        </w:rPr>
        <w:t>-</w:t>
      </w:r>
      <w:r w:rsidRPr="006078A1">
        <w:rPr>
          <w:rFonts w:eastAsiaTheme="minorHAnsi"/>
          <w:lang w:eastAsia="lt-LT"/>
        </w:rPr>
        <w:t>05</w:t>
      </w:r>
      <w:r w:rsidR="00D64252">
        <w:rPr>
          <w:rFonts w:eastAsiaTheme="minorHAnsi"/>
          <w:lang w:eastAsia="lt-LT"/>
        </w:rPr>
        <w:t>-</w:t>
      </w:r>
      <w:r w:rsidRPr="006078A1">
        <w:rPr>
          <w:rFonts w:eastAsiaTheme="minorHAnsi"/>
          <w:lang w:eastAsia="lt-LT"/>
        </w:rPr>
        <w:t xml:space="preserve">05 akto Nr. PA-4013(D22). Kontroliuojančios institucijos pažeidimų nenustatė. Įstaiga turi </w:t>
      </w:r>
      <w:r w:rsidRPr="00372E57">
        <w:rPr>
          <w:rFonts w:eastAsiaTheme="minorHAnsi"/>
          <w:lang w:eastAsia="lt-LT"/>
        </w:rPr>
        <w:t>higienos pasą</w:t>
      </w:r>
      <w:r w:rsidR="006C7345" w:rsidRPr="00372E57">
        <w:rPr>
          <w:rFonts w:eastAsiaTheme="minorHAnsi"/>
          <w:lang w:eastAsia="lt-LT"/>
        </w:rPr>
        <w:t>-leidimą</w:t>
      </w:r>
      <w:r w:rsidRPr="00372E57">
        <w:rPr>
          <w:rFonts w:eastAsiaTheme="minorHAnsi"/>
          <w:lang w:eastAsia="lt-LT"/>
        </w:rPr>
        <w:t>.</w:t>
      </w:r>
    </w:p>
    <w:p w:rsidR="006078A1" w:rsidRDefault="006078A1" w:rsidP="00856661">
      <w:pPr>
        <w:tabs>
          <w:tab w:val="left" w:pos="284"/>
          <w:tab w:val="left" w:pos="426"/>
        </w:tabs>
        <w:ind w:firstLine="567"/>
        <w:jc w:val="both"/>
        <w:rPr>
          <w:rFonts w:eastAsiaTheme="minorHAnsi"/>
          <w:lang w:eastAsia="lt-LT"/>
        </w:rPr>
      </w:pPr>
      <w:r w:rsidRPr="006078A1">
        <w:rPr>
          <w:lang w:eastAsia="lt-LT"/>
        </w:rPr>
        <w:t>Atlikus Įstaigoje įsivertinimą</w:t>
      </w:r>
      <w:r w:rsidR="00D64252">
        <w:rPr>
          <w:lang w:eastAsia="lt-LT"/>
        </w:rPr>
        <w:t>,</w:t>
      </w:r>
      <w:r w:rsidRPr="006078A1">
        <w:rPr>
          <w:lang w:eastAsia="lt-LT"/>
        </w:rPr>
        <w:t xml:space="preserve"> išryškėjo vidaus ir išorės faktorių nulemtos problemos: 1) su ugdymu susijusios problemos – ne visi </w:t>
      </w:r>
      <w:r w:rsidRPr="00372E57">
        <w:rPr>
          <w:lang w:eastAsia="lt-LT"/>
        </w:rPr>
        <w:t xml:space="preserve">pedagogai </w:t>
      </w:r>
      <w:r w:rsidR="00372E57" w:rsidRPr="00372E57">
        <w:rPr>
          <w:lang w:eastAsia="lt-LT"/>
        </w:rPr>
        <w:t>geba</w:t>
      </w:r>
      <w:r w:rsidRPr="00372E57">
        <w:rPr>
          <w:lang w:eastAsia="lt-LT"/>
        </w:rPr>
        <w:t xml:space="preserve"> kokybiškai</w:t>
      </w:r>
      <w:r w:rsidRPr="006078A1">
        <w:rPr>
          <w:lang w:eastAsia="lt-LT"/>
        </w:rPr>
        <w:t xml:space="preserve"> ugdyti </w:t>
      </w:r>
      <w:r w:rsidRPr="00372E57">
        <w:rPr>
          <w:lang w:eastAsia="lt-LT"/>
        </w:rPr>
        <w:t xml:space="preserve">specialiųjų </w:t>
      </w:r>
      <w:r w:rsidR="00372E57" w:rsidRPr="00372E57">
        <w:rPr>
          <w:lang w:eastAsia="lt-LT"/>
        </w:rPr>
        <w:t xml:space="preserve">ugdymosi </w:t>
      </w:r>
      <w:r w:rsidRPr="00372E57">
        <w:rPr>
          <w:lang w:eastAsia="lt-LT"/>
        </w:rPr>
        <w:t>poreikių</w:t>
      </w:r>
      <w:r w:rsidR="00372E57" w:rsidRPr="00372E57">
        <w:rPr>
          <w:lang w:eastAsia="lt-LT"/>
        </w:rPr>
        <w:t xml:space="preserve"> turinčius</w:t>
      </w:r>
      <w:r w:rsidRPr="00372E57">
        <w:rPr>
          <w:lang w:eastAsia="lt-LT"/>
        </w:rPr>
        <w:t xml:space="preserve"> vaikus, informacinių technologijų ir interaktyvių ugdymo priemonių</w:t>
      </w:r>
      <w:r w:rsidRPr="006078A1">
        <w:rPr>
          <w:lang w:eastAsia="lt-LT"/>
        </w:rPr>
        <w:t xml:space="preserve"> trūkumas; 2) su ugdymosi aplinka susijusios problemos –</w:t>
      </w:r>
      <w:r w:rsidR="00372E57">
        <w:rPr>
          <w:lang w:eastAsia="lt-LT"/>
        </w:rPr>
        <w:t xml:space="preserve"> reikalingas </w:t>
      </w:r>
      <w:r w:rsidRPr="006078A1">
        <w:rPr>
          <w:lang w:eastAsia="lt-LT"/>
        </w:rPr>
        <w:t>muzikos salė</w:t>
      </w:r>
      <w:r w:rsidR="00372E57">
        <w:rPr>
          <w:lang w:eastAsia="lt-LT"/>
        </w:rPr>
        <w:t>s remontas</w:t>
      </w:r>
      <w:r w:rsidRPr="006078A1">
        <w:rPr>
          <w:lang w:eastAsia="lt-LT"/>
        </w:rPr>
        <w:t>, nesutvarkytos lauko edukacinės erdvės</w:t>
      </w:r>
      <w:r w:rsidR="00D64252">
        <w:rPr>
          <w:lang w:eastAsia="lt-LT"/>
        </w:rPr>
        <w:t xml:space="preserve">, </w:t>
      </w:r>
      <w:r w:rsidRPr="006078A1">
        <w:rPr>
          <w:lang w:eastAsia="lt-LT"/>
        </w:rPr>
        <w:t>Įstaigos teritorija nestebima apsaugos įmonės.</w:t>
      </w:r>
      <w:r w:rsidR="00372E57">
        <w:rPr>
          <w:lang w:eastAsia="lt-LT"/>
        </w:rPr>
        <w:t xml:space="preserve"> </w:t>
      </w:r>
    </w:p>
    <w:p w:rsidR="006078A1" w:rsidRDefault="006078A1" w:rsidP="00856661">
      <w:pPr>
        <w:tabs>
          <w:tab w:val="left" w:pos="426"/>
        </w:tabs>
        <w:ind w:firstLine="567"/>
        <w:jc w:val="both"/>
        <w:rPr>
          <w:rFonts w:eastAsiaTheme="minorHAnsi"/>
        </w:rPr>
      </w:pPr>
      <w:r w:rsidRPr="006078A1">
        <w:rPr>
          <w:rFonts w:eastAsiaTheme="minorHAnsi"/>
        </w:rPr>
        <w:t>Planuodama artimiausių metų veiklą, Įstaigos bendruomenė susitarė dėl tokių prioritetų: kokybiško ugdymo paslaugos teikimas</w:t>
      </w:r>
      <w:r w:rsidR="00D64252">
        <w:rPr>
          <w:rFonts w:eastAsiaTheme="minorHAnsi"/>
        </w:rPr>
        <w:t>,</w:t>
      </w:r>
      <w:r w:rsidRPr="006078A1">
        <w:rPr>
          <w:rFonts w:eastAsiaTheme="minorHAnsi"/>
        </w:rPr>
        <w:t xml:space="preserve"> užtikrinant veiksmingą švietimo pagalbą įvairių gebėjimų vaikams bei pozityvios emocinės aplinkos kūrimas</w:t>
      </w:r>
      <w:r w:rsidR="00D64252">
        <w:rPr>
          <w:rFonts w:eastAsiaTheme="minorHAnsi"/>
        </w:rPr>
        <w:t>,</w:t>
      </w:r>
      <w:r w:rsidRPr="006078A1">
        <w:rPr>
          <w:rFonts w:eastAsiaTheme="minorHAnsi"/>
        </w:rPr>
        <w:t xml:space="preserve"> telkiant </w:t>
      </w:r>
      <w:r w:rsidR="00A70582">
        <w:rPr>
          <w:rFonts w:eastAsiaTheme="minorHAnsi"/>
        </w:rPr>
        <w:t>Į</w:t>
      </w:r>
      <w:r w:rsidRPr="006078A1">
        <w:rPr>
          <w:rFonts w:eastAsiaTheme="minorHAnsi"/>
        </w:rPr>
        <w:t>staigos bendruomenę.</w:t>
      </w:r>
    </w:p>
    <w:p w:rsidR="006078A1" w:rsidRDefault="006078A1" w:rsidP="006078A1">
      <w:pPr>
        <w:tabs>
          <w:tab w:val="left" w:pos="426"/>
        </w:tabs>
        <w:ind w:firstLine="567"/>
        <w:jc w:val="both"/>
        <w:rPr>
          <w:rFonts w:eastAsiaTheme="minorHAnsi"/>
        </w:rPr>
      </w:pPr>
    </w:p>
    <w:p w:rsidR="006078A1" w:rsidRDefault="006078A1" w:rsidP="006078A1">
      <w:pPr>
        <w:tabs>
          <w:tab w:val="left" w:pos="426"/>
        </w:tabs>
        <w:ind w:firstLine="567"/>
        <w:jc w:val="both"/>
        <w:rPr>
          <w:rFonts w:eastAsiaTheme="minorHAnsi"/>
        </w:rPr>
      </w:pPr>
    </w:p>
    <w:p w:rsidR="00554B71" w:rsidRDefault="00856661" w:rsidP="006078A1">
      <w:pPr>
        <w:tabs>
          <w:tab w:val="left" w:pos="426"/>
        </w:tabs>
        <w:spacing w:after="160" w:line="259" w:lineRule="auto"/>
        <w:jc w:val="both"/>
        <w:rPr>
          <w:lang w:eastAsia="lt-LT"/>
        </w:rPr>
      </w:pPr>
      <w:r>
        <w:rPr>
          <w:lang w:eastAsia="lt-LT"/>
        </w:rPr>
        <w:t>Direktorė</w:t>
      </w:r>
      <w:r>
        <w:rPr>
          <w:lang w:eastAsia="lt-LT"/>
        </w:rPr>
        <w:tab/>
      </w:r>
      <w:r>
        <w:rPr>
          <w:lang w:eastAsia="lt-LT"/>
        </w:rPr>
        <w:tab/>
      </w:r>
      <w:r>
        <w:rPr>
          <w:lang w:eastAsia="lt-LT"/>
        </w:rPr>
        <w:tab/>
      </w:r>
      <w:r>
        <w:rPr>
          <w:lang w:eastAsia="lt-LT"/>
        </w:rPr>
        <w:tab/>
        <w:t xml:space="preserve">                                        Aušra Jablonskienė</w:t>
      </w:r>
    </w:p>
    <w:p w:rsidR="00B06564" w:rsidRPr="006078A1" w:rsidRDefault="00B06564" w:rsidP="006078A1">
      <w:pPr>
        <w:tabs>
          <w:tab w:val="left" w:pos="426"/>
        </w:tabs>
        <w:spacing w:after="160" w:line="259" w:lineRule="auto"/>
        <w:jc w:val="both"/>
        <w:rPr>
          <w:rFonts w:eastAsiaTheme="minorHAnsi"/>
          <w:lang w:eastAsia="lt-LT"/>
        </w:rPr>
      </w:pPr>
    </w:p>
    <w:p w:rsidR="00D57F27" w:rsidRPr="00832CC9" w:rsidRDefault="00A70582" w:rsidP="00B06564">
      <w:pPr>
        <w:ind w:right="2975" w:firstLine="2268"/>
        <w:jc w:val="center"/>
      </w:pPr>
      <w:r>
        <w:t>––––––––––––––––––––––––</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C1266">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CB0E63EA"/>
    <w:lvl w:ilvl="0" w:tplc="68921D5C">
      <w:numFmt w:val="bullet"/>
      <w:lvlText w:val="–"/>
      <w:lvlJc w:val="left"/>
      <w:pPr>
        <w:ind w:left="963" w:hanging="360"/>
      </w:pPr>
      <w:rPr>
        <w:rFonts w:ascii="Times New Roman" w:eastAsia="Times New Roman" w:hAnsi="Times New Roman" w:cs="Times New Roman" w:hint="default"/>
        <w:color w:val="auto"/>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43743"/>
    <w:rsid w:val="0006079E"/>
    <w:rsid w:val="0019615E"/>
    <w:rsid w:val="001D7E01"/>
    <w:rsid w:val="00337578"/>
    <w:rsid w:val="0034183E"/>
    <w:rsid w:val="00372E57"/>
    <w:rsid w:val="004476DD"/>
    <w:rsid w:val="004C067A"/>
    <w:rsid w:val="00554B71"/>
    <w:rsid w:val="005623D9"/>
    <w:rsid w:val="00597EE8"/>
    <w:rsid w:val="005B434A"/>
    <w:rsid w:val="005D14D2"/>
    <w:rsid w:val="005F495C"/>
    <w:rsid w:val="006078A1"/>
    <w:rsid w:val="00616F5A"/>
    <w:rsid w:val="00677042"/>
    <w:rsid w:val="006A357A"/>
    <w:rsid w:val="006C7345"/>
    <w:rsid w:val="00713921"/>
    <w:rsid w:val="007B1666"/>
    <w:rsid w:val="00832CC9"/>
    <w:rsid w:val="008354D5"/>
    <w:rsid w:val="0085318D"/>
    <w:rsid w:val="00856661"/>
    <w:rsid w:val="008E6E82"/>
    <w:rsid w:val="009D4DC2"/>
    <w:rsid w:val="00A339BB"/>
    <w:rsid w:val="00A400CE"/>
    <w:rsid w:val="00A70582"/>
    <w:rsid w:val="00AF7D08"/>
    <w:rsid w:val="00B06564"/>
    <w:rsid w:val="00B45C6C"/>
    <w:rsid w:val="00B750B6"/>
    <w:rsid w:val="00C57681"/>
    <w:rsid w:val="00CA4D3B"/>
    <w:rsid w:val="00CC1266"/>
    <w:rsid w:val="00D42B72"/>
    <w:rsid w:val="00D57F27"/>
    <w:rsid w:val="00D64252"/>
    <w:rsid w:val="00DD319C"/>
    <w:rsid w:val="00E33871"/>
    <w:rsid w:val="00E56A73"/>
    <w:rsid w:val="00EB2F6A"/>
    <w:rsid w:val="00F1275A"/>
    <w:rsid w:val="00F72A1E"/>
    <w:rsid w:val="00F86258"/>
    <w:rsid w:val="00FE32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EEAC8"/>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E32B4"/>
    <w:pPr>
      <w:spacing w:after="160" w:line="259" w:lineRule="auto"/>
      <w:ind w:left="720"/>
      <w:contextualSpacing/>
    </w:pPr>
    <w:rPr>
      <w:rFonts w:asciiTheme="minorHAnsi" w:eastAsiaTheme="minorHAnsi" w:hAnsiTheme="minorHAnsi" w:cstheme="minorBidi"/>
      <w:sz w:val="22"/>
      <w:szCs w:val="22"/>
    </w:rPr>
  </w:style>
  <w:style w:type="character" w:customStyle="1" w:styleId="fontstyle01">
    <w:name w:val="fontstyle01"/>
    <w:basedOn w:val="Numatytasispastraiposriftas"/>
    <w:rsid w:val="00FE32B4"/>
    <w:rPr>
      <w:rFonts w:ascii="TimesNewRoman" w:hAnsi="TimesNewRoman" w:hint="default"/>
      <w:b w:val="0"/>
      <w:bCs w:val="0"/>
      <w:i w:val="0"/>
      <w:iCs w:val="0"/>
      <w:color w:val="000000"/>
      <w:sz w:val="24"/>
      <w:szCs w:val="24"/>
    </w:rPr>
  </w:style>
  <w:style w:type="paragraph" w:styleId="Komentarotekstas">
    <w:name w:val="annotation text"/>
    <w:basedOn w:val="prastasis"/>
    <w:link w:val="KomentarotekstasDiagrama"/>
    <w:uiPriority w:val="99"/>
    <w:semiHidden/>
    <w:unhideWhenUsed/>
    <w:rsid w:val="00FE32B4"/>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FE32B4"/>
    <w:rPr>
      <w:sz w:val="20"/>
      <w:szCs w:val="20"/>
    </w:rPr>
  </w:style>
  <w:style w:type="paragraph" w:customStyle="1" w:styleId="Pagrindinistekstas1">
    <w:name w:val="Pagrindinis tekstas1"/>
    <w:rsid w:val="00FE32B4"/>
    <w:pPr>
      <w:suppressAutoHyphens/>
      <w:autoSpaceDE w:val="0"/>
      <w:spacing w:after="0" w:line="240" w:lineRule="auto"/>
      <w:ind w:firstLine="312"/>
      <w:jc w:val="both"/>
    </w:pPr>
    <w:rPr>
      <w:rFonts w:ascii="TimesLT" w:eastAsia="Arial"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5664</Words>
  <Characters>3229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2023-05-02T10:55:00Z</dcterms:created>
  <dcterms:modified xsi:type="dcterms:W3CDTF">2023-05-04T05:31:00Z</dcterms:modified>
</cp:coreProperties>
</file>